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1F" w:rsidRPr="00356AFC" w:rsidRDefault="0046021F" w:rsidP="0046021F">
      <w:pPr>
        <w:pStyle w:val="Title"/>
        <w:jc w:val="center"/>
        <w:rPr>
          <w:rFonts w:ascii="Raleway" w:hAnsi="Raleway"/>
          <w:sz w:val="40"/>
          <w:szCs w:val="40"/>
        </w:rPr>
      </w:pPr>
      <w:r w:rsidRPr="00356AFC">
        <w:rPr>
          <w:rFonts w:ascii="Raleway" w:hAnsi="Raleway"/>
          <w:sz w:val="40"/>
          <w:szCs w:val="40"/>
        </w:rPr>
        <w:t xml:space="preserve">Анекс 1_Програм стипендија за </w:t>
      </w:r>
      <w:r>
        <w:rPr>
          <w:rFonts w:ascii="Raleway" w:hAnsi="Raleway"/>
          <w:sz w:val="40"/>
          <w:szCs w:val="40"/>
        </w:rPr>
        <w:t>Акрос</w:t>
      </w:r>
      <w:r w:rsidRPr="00356AFC">
        <w:rPr>
          <w:rFonts w:ascii="Raleway" w:hAnsi="Raleway"/>
          <w:sz w:val="40"/>
          <w:szCs w:val="40"/>
        </w:rPr>
        <w:t xml:space="preserve"> мобилност – преглед </w:t>
      </w:r>
      <w:r>
        <w:rPr>
          <w:rFonts w:ascii="Raleway" w:hAnsi="Raleway"/>
          <w:sz w:val="40"/>
          <w:szCs w:val="40"/>
        </w:rPr>
        <w:t>износа</w:t>
      </w:r>
      <w:r w:rsidRPr="00356AFC">
        <w:rPr>
          <w:rFonts w:ascii="Raleway" w:hAnsi="Raleway"/>
          <w:sz w:val="40"/>
          <w:szCs w:val="40"/>
        </w:rPr>
        <w:t xml:space="preserve"> </w:t>
      </w:r>
      <w:r>
        <w:rPr>
          <w:rFonts w:ascii="Raleway" w:hAnsi="Raleway"/>
          <w:sz w:val="40"/>
          <w:szCs w:val="40"/>
        </w:rPr>
        <w:t>стипендија</w:t>
      </w:r>
    </w:p>
    <w:p w:rsidR="0046021F" w:rsidRPr="00356AFC" w:rsidRDefault="0046021F" w:rsidP="0046021F"/>
    <w:p w:rsidR="0046021F" w:rsidRPr="002655D2" w:rsidRDefault="0046021F" w:rsidP="0046021F">
      <w:pPr>
        <w:jc w:val="both"/>
        <w:rPr>
          <w:rFonts w:ascii="Raleway" w:hAnsi="Raleway"/>
          <w:u w:val="single"/>
        </w:rPr>
      </w:pPr>
      <w:r w:rsidRPr="002655D2">
        <w:rPr>
          <w:rFonts w:ascii="Raleway" w:hAnsi="Raleway"/>
          <w:u w:val="single"/>
        </w:rPr>
        <w:t>Финансијска подршка за путовање</w:t>
      </w:r>
    </w:p>
    <w:p w:rsidR="0046021F" w:rsidRPr="002655D2" w:rsidRDefault="0046021F" w:rsidP="0046021F">
      <w:pPr>
        <w:jc w:val="both"/>
        <w:rPr>
          <w:rFonts w:ascii="Raleway" w:hAnsi="Raleway"/>
        </w:rPr>
      </w:pPr>
      <w:r w:rsidRPr="002655D2">
        <w:rPr>
          <w:rFonts w:ascii="Raleway" w:hAnsi="Raleway"/>
        </w:rPr>
        <w:t>Учесници добијају финансијску подршку за путовање у зависности од удаљености и средства путовања (доступан је додатак за еколошки прихватљиво путовање [</w:t>
      </w:r>
      <w:r w:rsidRPr="002655D2">
        <w:rPr>
          <w:rFonts w:ascii="Raleway" w:hAnsi="Raleway"/>
          <w:i/>
          <w:iCs/>
        </w:rPr>
        <w:t>Green travel top-up</w:t>
      </w:r>
      <w:r w:rsidRPr="002655D2">
        <w:rPr>
          <w:rFonts w:ascii="Raleway" w:hAnsi="Raleway"/>
        </w:rPr>
        <w:t xml:space="preserve">], а критеријуми квалификованости за овај додатак треба да буду у складу са редовним институционалним смјерницама за Ерасмус+). Удаљеност између универзитета који шаље и универзитета примаоца обрачунаваће се помоћу онлајн алата: </w:t>
      </w:r>
    </w:p>
    <w:p w:rsidR="0046021F" w:rsidRPr="002655D2" w:rsidRDefault="00941FAF" w:rsidP="0046021F">
      <w:pPr>
        <w:jc w:val="both"/>
        <w:rPr>
          <w:rFonts w:ascii="Raleway" w:hAnsi="Raleway"/>
        </w:rPr>
      </w:pPr>
      <w:hyperlink r:id="rId7" w:history="1">
        <w:r w:rsidR="0046021F" w:rsidRPr="002655D2">
          <w:rPr>
            <w:rStyle w:val="Hyperlink"/>
            <w:rFonts w:ascii="Raleway" w:hAnsi="Raleway"/>
          </w:rPr>
          <w:t>https://erasmus-plus.ec.europa.eu/hu/resources-and-tools/distance-calculator</w:t>
        </w:r>
      </w:hyperlink>
      <w:r w:rsidR="0046021F" w:rsidRPr="002655D2">
        <w:rPr>
          <w:rFonts w:ascii="Raleway" w:hAnsi="Raleway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3585"/>
        <w:gridCol w:w="3390"/>
      </w:tblGrid>
      <w:tr w:rsidR="0046021F" w:rsidRPr="002655D2" w:rsidTr="002F63B3">
        <w:tc>
          <w:tcPr>
            <w:tcW w:w="8630" w:type="dxa"/>
            <w:gridSpan w:val="3"/>
            <w:shd w:val="clear" w:color="auto" w:fill="CCFFCC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Финансијска подршка за путовање</w:t>
            </w:r>
          </w:p>
        </w:tc>
      </w:tr>
      <w:tr w:rsidR="0046021F" w:rsidRPr="002655D2" w:rsidTr="002F63B3">
        <w:tc>
          <w:tcPr>
            <w:tcW w:w="1655" w:type="dxa"/>
            <w:shd w:val="clear" w:color="auto" w:fill="E7E6E6" w:themeFill="background2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Style w:val="Strong"/>
                <w:rFonts w:ascii="Arial" w:hAnsi="Arial" w:cs="Arial"/>
              </w:rPr>
              <w:t>Удаљеност</w:t>
            </w:r>
          </w:p>
        </w:tc>
        <w:tc>
          <w:tcPr>
            <w:tcW w:w="3585" w:type="dxa"/>
            <w:shd w:val="clear" w:color="auto" w:fill="E7E6E6" w:themeFill="background2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Style w:val="Strong"/>
                <w:rFonts w:ascii="Arial" w:hAnsi="Arial" w:cs="Arial"/>
              </w:rPr>
              <w:t>Еколошки прихватљиво путовање (Green Travel)</w:t>
            </w:r>
          </w:p>
        </w:tc>
        <w:tc>
          <w:tcPr>
            <w:tcW w:w="3390" w:type="dxa"/>
            <w:shd w:val="clear" w:color="auto" w:fill="E7E6E6" w:themeFill="background2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Style w:val="Strong"/>
                <w:rFonts w:ascii="Arial" w:hAnsi="Arial" w:cs="Arial"/>
              </w:rPr>
              <w:t>Стандардно путовање</w:t>
            </w:r>
          </w:p>
        </w:tc>
      </w:tr>
      <w:tr w:rsidR="0046021F" w:rsidRPr="002655D2" w:rsidTr="002F63B3">
        <w:tc>
          <w:tcPr>
            <w:tcW w:w="1655" w:type="dxa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Fonts w:ascii="Arial" w:hAnsi="Arial" w:cs="Arial"/>
                <w:b/>
                <w:bCs/>
              </w:rPr>
              <w:t>10–99 km</w:t>
            </w:r>
          </w:p>
        </w:tc>
        <w:tc>
          <w:tcPr>
            <w:tcW w:w="3585" w:type="dxa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Fonts w:ascii="Arial" w:hAnsi="Arial" w:cs="Arial"/>
              </w:rPr>
              <w:t>56 евра по учеснику</w:t>
            </w:r>
          </w:p>
        </w:tc>
        <w:tc>
          <w:tcPr>
            <w:tcW w:w="3390" w:type="dxa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Fonts w:ascii="Arial" w:hAnsi="Arial" w:cs="Arial"/>
              </w:rPr>
              <w:t>28 евра по учеснику</w:t>
            </w:r>
          </w:p>
        </w:tc>
      </w:tr>
      <w:tr w:rsidR="0046021F" w:rsidRPr="002655D2" w:rsidTr="002F63B3">
        <w:tc>
          <w:tcPr>
            <w:tcW w:w="1655" w:type="dxa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Fonts w:ascii="Arial" w:hAnsi="Arial" w:cs="Arial"/>
                <w:b/>
                <w:bCs/>
              </w:rPr>
              <w:t>100–499 km</w:t>
            </w:r>
          </w:p>
        </w:tc>
        <w:tc>
          <w:tcPr>
            <w:tcW w:w="3585" w:type="dxa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Fonts w:ascii="Arial" w:hAnsi="Arial" w:cs="Arial"/>
              </w:rPr>
              <w:t>285 евра  по учеснику</w:t>
            </w:r>
          </w:p>
        </w:tc>
        <w:tc>
          <w:tcPr>
            <w:tcW w:w="3390" w:type="dxa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Fonts w:ascii="Arial" w:hAnsi="Arial" w:cs="Arial"/>
              </w:rPr>
              <w:t>211 евра по учеснику</w:t>
            </w:r>
          </w:p>
        </w:tc>
      </w:tr>
      <w:tr w:rsidR="0046021F" w:rsidRPr="002655D2" w:rsidTr="002F63B3">
        <w:tc>
          <w:tcPr>
            <w:tcW w:w="1655" w:type="dxa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Fonts w:ascii="Arial" w:hAnsi="Arial" w:cs="Arial"/>
                <w:b/>
                <w:bCs/>
              </w:rPr>
              <w:t>500–1.999 km</w:t>
            </w:r>
          </w:p>
        </w:tc>
        <w:tc>
          <w:tcPr>
            <w:tcW w:w="3585" w:type="dxa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Fonts w:ascii="Arial" w:hAnsi="Arial" w:cs="Arial"/>
              </w:rPr>
              <w:t>417 евра по учеснику</w:t>
            </w:r>
          </w:p>
        </w:tc>
        <w:tc>
          <w:tcPr>
            <w:tcW w:w="3390" w:type="dxa"/>
            <w:vAlign w:val="center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Fonts w:ascii="Arial" w:hAnsi="Arial" w:cs="Arial"/>
              </w:rPr>
              <w:t>309 евра по учеснику</w:t>
            </w:r>
          </w:p>
        </w:tc>
      </w:tr>
    </w:tbl>
    <w:p w:rsidR="0046021F" w:rsidRPr="002655D2" w:rsidRDefault="0046021F" w:rsidP="0046021F">
      <w:pPr>
        <w:spacing w:before="240"/>
        <w:rPr>
          <w:rFonts w:ascii="Raleway" w:hAnsi="Raleway"/>
          <w:u w:val="single"/>
        </w:rPr>
      </w:pPr>
      <w:r w:rsidRPr="002655D2">
        <w:rPr>
          <w:rFonts w:ascii="Raleway" w:hAnsi="Raleway"/>
          <w:u w:val="single"/>
        </w:rPr>
        <w:t>У случају акумулираних мобилности које укључују двије физичке компоненте, подршка за путовање може се додијелити само једном.</w:t>
      </w:r>
    </w:p>
    <w:p w:rsidR="0046021F" w:rsidRPr="002655D2" w:rsidRDefault="0046021F" w:rsidP="0046021F">
      <w:pPr>
        <w:spacing w:before="240"/>
        <w:rPr>
          <w:rFonts w:ascii="Raleway" w:hAnsi="Raleway"/>
          <w:u w:val="single"/>
        </w:rPr>
      </w:pPr>
      <w:r w:rsidRPr="002655D2">
        <w:rPr>
          <w:rFonts w:ascii="Raleway" w:hAnsi="Raleway"/>
          <w:u w:val="single"/>
        </w:rPr>
        <w:t>Финансијска подршка за трошкове живота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3118"/>
        <w:gridCol w:w="3260"/>
      </w:tblGrid>
      <w:tr w:rsidR="0046021F" w:rsidRPr="002655D2" w:rsidTr="002F63B3">
        <w:trPr>
          <w:trHeight w:val="548"/>
        </w:trPr>
        <w:tc>
          <w:tcPr>
            <w:tcW w:w="9067" w:type="dxa"/>
            <w:gridSpan w:val="3"/>
            <w:shd w:val="clear" w:color="auto" w:fill="CCFFFF"/>
            <w:vAlign w:val="center"/>
          </w:tcPr>
          <w:p w:rsidR="0046021F" w:rsidRPr="002655D2" w:rsidRDefault="0046021F" w:rsidP="002F63B3">
            <w:pPr>
              <w:spacing w:before="240"/>
              <w:jc w:val="center"/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Финансијска подршка за трошкове живота</w:t>
            </w:r>
          </w:p>
          <w:p w:rsidR="0046021F" w:rsidRPr="002655D2" w:rsidRDefault="0046021F" w:rsidP="002F63B3">
            <w:pPr>
              <w:rPr>
                <w:rFonts w:ascii="Raleway" w:hAnsi="Raleway"/>
              </w:rPr>
            </w:pPr>
          </w:p>
        </w:tc>
      </w:tr>
      <w:tr w:rsidR="0046021F" w:rsidRPr="002655D2" w:rsidTr="002F63B3">
        <w:tc>
          <w:tcPr>
            <w:tcW w:w="2689" w:type="dxa"/>
            <w:vMerge w:val="restart"/>
            <w:shd w:val="clear" w:color="auto" w:fill="E7E6E6" w:themeFill="background2"/>
          </w:tcPr>
          <w:p w:rsidR="0046021F" w:rsidRPr="002655D2" w:rsidRDefault="0046021F" w:rsidP="002F63B3">
            <w:pPr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Трајање физичке мобилности</w:t>
            </w:r>
          </w:p>
        </w:tc>
        <w:tc>
          <w:tcPr>
            <w:tcW w:w="6378" w:type="dxa"/>
            <w:gridSpan w:val="2"/>
            <w:shd w:val="clear" w:color="auto" w:fill="E7E6E6" w:themeFill="background2"/>
          </w:tcPr>
          <w:p w:rsidR="0046021F" w:rsidRPr="002655D2" w:rsidRDefault="0046021F" w:rsidP="002F63B3">
            <w:pPr>
              <w:jc w:val="center"/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Државе институције домаћина:</w:t>
            </w:r>
          </w:p>
        </w:tc>
      </w:tr>
      <w:tr w:rsidR="0046021F" w:rsidRPr="002655D2" w:rsidTr="002F63B3">
        <w:tc>
          <w:tcPr>
            <w:tcW w:w="2689" w:type="dxa"/>
            <w:vMerge/>
            <w:shd w:val="clear" w:color="auto" w:fill="E7E6E6" w:themeFill="background2"/>
          </w:tcPr>
          <w:p w:rsidR="0046021F" w:rsidRPr="002655D2" w:rsidRDefault="0046021F" w:rsidP="002F63B3">
            <w:pPr>
              <w:rPr>
                <w:rFonts w:ascii="Raleway" w:hAnsi="Raleway"/>
              </w:rPr>
            </w:pPr>
          </w:p>
        </w:tc>
        <w:tc>
          <w:tcPr>
            <w:tcW w:w="3118" w:type="dxa"/>
            <w:shd w:val="clear" w:color="auto" w:fill="FFFFCC"/>
          </w:tcPr>
          <w:p w:rsidR="0046021F" w:rsidRPr="002655D2" w:rsidRDefault="0046021F" w:rsidP="002F63B3">
            <w:pPr>
              <w:rPr>
                <w:rFonts w:ascii="Raleway" w:hAnsi="Raleway"/>
                <w:b/>
                <w:bCs/>
              </w:rPr>
            </w:pPr>
            <w:r w:rsidRPr="002655D2">
              <w:rPr>
                <w:rFonts w:ascii="Raleway" w:hAnsi="Raleway"/>
              </w:rPr>
              <w:t>Бугарска, Пољска, Румунија, Босна и Херцеговина</w:t>
            </w:r>
          </w:p>
        </w:tc>
        <w:tc>
          <w:tcPr>
            <w:tcW w:w="3260" w:type="dxa"/>
            <w:shd w:val="clear" w:color="auto" w:fill="CCCCFF"/>
          </w:tcPr>
          <w:p w:rsidR="0046021F" w:rsidRPr="002655D2" w:rsidRDefault="0046021F" w:rsidP="002F63B3">
            <w:pPr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Њемачка, Француска, Италија, Словенија, Шпанија</w:t>
            </w:r>
          </w:p>
        </w:tc>
      </w:tr>
      <w:tr w:rsidR="0046021F" w:rsidRPr="002655D2" w:rsidTr="002F63B3">
        <w:tc>
          <w:tcPr>
            <w:tcW w:w="2689" w:type="dxa"/>
          </w:tcPr>
          <w:p w:rsidR="0046021F" w:rsidRPr="002655D2" w:rsidRDefault="0046021F" w:rsidP="002F63B3">
            <w:pPr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2 седмице</w:t>
            </w:r>
          </w:p>
        </w:tc>
        <w:tc>
          <w:tcPr>
            <w:tcW w:w="3118" w:type="dxa"/>
          </w:tcPr>
          <w:p w:rsidR="0046021F" w:rsidRPr="002655D2" w:rsidRDefault="0046021F" w:rsidP="002F63B3">
            <w:pPr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400 евра</w:t>
            </w:r>
          </w:p>
        </w:tc>
        <w:tc>
          <w:tcPr>
            <w:tcW w:w="3260" w:type="dxa"/>
          </w:tcPr>
          <w:p w:rsidR="0046021F" w:rsidRPr="002655D2" w:rsidRDefault="0046021F" w:rsidP="002F63B3">
            <w:pPr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430 евра</w:t>
            </w:r>
          </w:p>
        </w:tc>
      </w:tr>
      <w:tr w:rsidR="0046021F" w:rsidRPr="002655D2" w:rsidTr="002F63B3">
        <w:tc>
          <w:tcPr>
            <w:tcW w:w="2689" w:type="dxa"/>
          </w:tcPr>
          <w:p w:rsidR="0046021F" w:rsidRPr="002655D2" w:rsidRDefault="0046021F" w:rsidP="002F63B3">
            <w:pPr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lastRenderedPageBreak/>
              <w:t>3 седмице</w:t>
            </w:r>
          </w:p>
        </w:tc>
        <w:tc>
          <w:tcPr>
            <w:tcW w:w="3118" w:type="dxa"/>
          </w:tcPr>
          <w:p w:rsidR="0046021F" w:rsidRPr="002655D2" w:rsidRDefault="0046021F" w:rsidP="002F63B3">
            <w:pPr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500 евра</w:t>
            </w:r>
          </w:p>
        </w:tc>
        <w:tc>
          <w:tcPr>
            <w:tcW w:w="3260" w:type="dxa"/>
          </w:tcPr>
          <w:p w:rsidR="0046021F" w:rsidRPr="002655D2" w:rsidRDefault="0046021F" w:rsidP="002F63B3">
            <w:pPr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535 евра</w:t>
            </w:r>
          </w:p>
        </w:tc>
      </w:tr>
      <w:tr w:rsidR="0046021F" w:rsidRPr="002655D2" w:rsidTr="002F63B3">
        <w:tc>
          <w:tcPr>
            <w:tcW w:w="2689" w:type="dxa"/>
          </w:tcPr>
          <w:p w:rsidR="0046021F" w:rsidRPr="002655D2" w:rsidRDefault="0046021F" w:rsidP="002F63B3">
            <w:pPr>
              <w:tabs>
                <w:tab w:val="right" w:pos="2473"/>
              </w:tabs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1 мјесец</w:t>
            </w:r>
          </w:p>
        </w:tc>
        <w:tc>
          <w:tcPr>
            <w:tcW w:w="3118" w:type="dxa"/>
          </w:tcPr>
          <w:p w:rsidR="0046021F" w:rsidRPr="002655D2" w:rsidRDefault="0046021F" w:rsidP="002F63B3">
            <w:pPr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600 евра</w:t>
            </w:r>
          </w:p>
        </w:tc>
        <w:tc>
          <w:tcPr>
            <w:tcW w:w="3260" w:type="dxa"/>
          </w:tcPr>
          <w:p w:rsidR="0046021F" w:rsidRPr="002655D2" w:rsidRDefault="0046021F" w:rsidP="002F63B3">
            <w:pPr>
              <w:rPr>
                <w:rFonts w:ascii="Raleway" w:hAnsi="Raleway"/>
              </w:rPr>
            </w:pPr>
            <w:r w:rsidRPr="002655D2">
              <w:rPr>
                <w:rFonts w:ascii="Raleway" w:hAnsi="Raleway"/>
              </w:rPr>
              <w:t>670 евра</w:t>
            </w:r>
          </w:p>
        </w:tc>
      </w:tr>
    </w:tbl>
    <w:p w:rsidR="0046021F" w:rsidRPr="002655D2" w:rsidRDefault="0046021F" w:rsidP="0046021F">
      <w:pPr>
        <w:tabs>
          <w:tab w:val="left" w:pos="1140"/>
        </w:tabs>
        <w:rPr>
          <w:rFonts w:ascii="Raleway" w:hAnsi="Raleway"/>
          <w:u w:val="single"/>
        </w:rPr>
      </w:pPr>
    </w:p>
    <w:p w:rsidR="0046021F" w:rsidRPr="002655D2" w:rsidRDefault="0046021F" w:rsidP="0046021F">
      <w:pPr>
        <w:tabs>
          <w:tab w:val="left" w:pos="1140"/>
        </w:tabs>
        <w:rPr>
          <w:rFonts w:ascii="Raleway" w:hAnsi="Raleway"/>
          <w:u w:val="single"/>
        </w:rPr>
      </w:pPr>
    </w:p>
    <w:p w:rsidR="0046021F" w:rsidRPr="002655D2" w:rsidRDefault="0046021F" w:rsidP="0046021F">
      <w:pPr>
        <w:tabs>
          <w:tab w:val="left" w:pos="1140"/>
        </w:tabs>
        <w:rPr>
          <w:rFonts w:ascii="Raleway" w:hAnsi="Raleway"/>
          <w:u w:val="single"/>
        </w:rPr>
      </w:pPr>
      <w:r w:rsidRPr="002655D2">
        <w:rPr>
          <w:rFonts w:ascii="Raleway" w:hAnsi="Raleway"/>
          <w:u w:val="single"/>
        </w:rPr>
        <w:t>Подршка за инклузију</w:t>
      </w:r>
    </w:p>
    <w:p w:rsidR="0046021F" w:rsidRPr="002655D2" w:rsidRDefault="0046021F" w:rsidP="0046021F">
      <w:pPr>
        <w:jc w:val="both"/>
        <w:rPr>
          <w:rFonts w:ascii="Raleway" w:hAnsi="Raleway"/>
          <w:b/>
          <w:bCs/>
        </w:rPr>
      </w:pPr>
      <w:r w:rsidRPr="002655D2">
        <w:rPr>
          <w:rFonts w:ascii="Raleway" w:hAnsi="Raleway"/>
        </w:rPr>
        <w:t>Учесници са мање могућности (критеријуми квалификованости за додатак за инклузију треба да буду у складу са редовним институционалним смјерницама за Е+) који реализују физичку мобилност добијају додатак на основни индивидуални грант у износу од 100 евра за активности физичке мобилности које трају до 2 седмице, и 150 евра за активности физичке мобилности које трају дуже од 2 седмице (до 1 мјесец).</w:t>
      </w:r>
    </w:p>
    <w:p w:rsidR="0046021F" w:rsidRPr="002655D2" w:rsidRDefault="0046021F" w:rsidP="0046021F">
      <w:pPr>
        <w:rPr>
          <w:rFonts w:ascii="Raleway" w:hAnsi="Raleway"/>
        </w:rPr>
      </w:pPr>
      <w:r w:rsidRPr="002655D2">
        <w:rPr>
          <w:rFonts w:ascii="Raleway" w:hAnsi="Raleway"/>
        </w:rPr>
        <w:t>Примјери:</w:t>
      </w:r>
    </w:p>
    <w:p w:rsidR="0046021F" w:rsidRPr="002655D2" w:rsidRDefault="0046021F" w:rsidP="0046021F">
      <w:pPr>
        <w:numPr>
          <w:ilvl w:val="0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Тип учесника: редован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Институција која шаље: Технички универизет у Кемницу (TUC)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Институција прималац: Универзитет у Бањој Луци (UNIBL)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Трајање мобилности: 2 седмице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Главно превозно средство: авион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 xml:space="preserve">Додатак за путовање (удаљеност Кемниц–Бања Лука 745,31 km; стандардно путовање): 309 </w:t>
      </w:r>
      <w:r w:rsidRPr="002655D2">
        <w:rPr>
          <w:rFonts w:ascii="Raleway" w:hAnsi="Raleway"/>
          <w:lang w:val="sr-Latn-BA"/>
        </w:rPr>
        <w:t>e</w:t>
      </w:r>
      <w:r w:rsidRPr="002655D2">
        <w:rPr>
          <w:rFonts w:ascii="Raleway" w:hAnsi="Raleway"/>
        </w:rPr>
        <w:t>вра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 xml:space="preserve">Додатак за трошкове живота (2 седмице, стопа за Босну и Херцеговину): 400 </w:t>
      </w:r>
      <w:r w:rsidRPr="002655D2">
        <w:rPr>
          <w:rFonts w:ascii="Raleway" w:hAnsi="Raleway"/>
          <w:lang w:val="sr-Latn-BA"/>
        </w:rPr>
        <w:t>e</w:t>
      </w:r>
      <w:r w:rsidRPr="002655D2">
        <w:rPr>
          <w:rFonts w:ascii="Raleway" w:hAnsi="Raleway"/>
        </w:rPr>
        <w:t>вра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Укупан износ гранта: 709 евра</w:t>
      </w:r>
    </w:p>
    <w:p w:rsidR="0046021F" w:rsidRPr="002655D2" w:rsidRDefault="0046021F" w:rsidP="0046021F">
      <w:pPr>
        <w:numPr>
          <w:ilvl w:val="0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Тип учесника: мање могућности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Институција која шаље: Универзитет у Русу „Ангел Канчев” (</w:t>
      </w:r>
      <w:r w:rsidRPr="002655D2">
        <w:rPr>
          <w:rFonts w:ascii="Raleway" w:hAnsi="Raleway"/>
          <w:lang w:val="sr-Latn-BA"/>
        </w:rPr>
        <w:t>UR)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Институција прималац: Универзитет у Ђирони</w:t>
      </w:r>
      <w:r w:rsidRPr="002655D2">
        <w:rPr>
          <w:rFonts w:ascii="Raleway" w:hAnsi="Raleway"/>
          <w:lang w:val="sr-Latn-BA"/>
        </w:rPr>
        <w:t xml:space="preserve"> (UdG)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Трајање мобилности: 1 мјесец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Главно превозно средство: аутобус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Додатак за путовање (удаљеност Русе–Ђирона 1889,17 km; еколошки прихватљиво путовање): 417 евра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lastRenderedPageBreak/>
        <w:t>Додатак за трошкове живота (1 мјесец, стопа за Шпанију): 650 евра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Додатак за мање могућности: 150 евра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Укупан износ гранта: 1217 евра</w:t>
      </w:r>
    </w:p>
    <w:p w:rsidR="0046021F" w:rsidRPr="002655D2" w:rsidRDefault="0046021F" w:rsidP="0046021F">
      <w:pPr>
        <w:numPr>
          <w:ilvl w:val="0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Тип учесника: мање могућности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Институција која шаље: BUT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Институција прималац: UNIUD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Трајање мобилности: 18 дана (2 седмице + 4 дана)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Главно превозно средство: воз, аутобус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Додатак за путовање (удаљеност Бјалисток–Удине 1060,78 km; еколошки прихватљиво путовање): 417 евра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Додатак за трошкове живота (2 седмице, стопа за Француску + 4 додатна дана се не финансирају): 430 евра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Додатак за мање могућности: 100 евра</w:t>
      </w:r>
    </w:p>
    <w:p w:rsidR="0046021F" w:rsidRPr="002655D2" w:rsidRDefault="0046021F" w:rsidP="0046021F">
      <w:pPr>
        <w:numPr>
          <w:ilvl w:val="1"/>
          <w:numId w:val="1"/>
        </w:numPr>
        <w:rPr>
          <w:rFonts w:ascii="Raleway" w:hAnsi="Raleway"/>
        </w:rPr>
      </w:pPr>
      <w:r w:rsidRPr="002655D2">
        <w:rPr>
          <w:rFonts w:ascii="Raleway" w:hAnsi="Raleway"/>
        </w:rPr>
        <w:t>Укупан износ гранта: 947 евра</w:t>
      </w:r>
    </w:p>
    <w:p w:rsidR="0046021F" w:rsidRPr="002655D2" w:rsidRDefault="0046021F" w:rsidP="0046021F">
      <w:pPr>
        <w:rPr>
          <w:rFonts w:ascii="Raleway" w:eastAsiaTheme="majorEastAsia" w:hAnsi="Raleway" w:cstheme="majorBidi"/>
          <w:color w:val="323E4F" w:themeColor="text2" w:themeShade="BF"/>
          <w:spacing w:val="5"/>
          <w:kern w:val="28"/>
        </w:rPr>
      </w:pPr>
    </w:p>
    <w:p w:rsidR="00143D0D" w:rsidRDefault="00143D0D">
      <w:bookmarkStart w:id="0" w:name="_GoBack"/>
      <w:bookmarkEnd w:id="0"/>
    </w:p>
    <w:sectPr w:rsidR="00143D0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FAF" w:rsidRDefault="00941FAF" w:rsidP="0046021F">
      <w:pPr>
        <w:spacing w:after="0" w:line="240" w:lineRule="auto"/>
      </w:pPr>
      <w:r>
        <w:separator/>
      </w:r>
    </w:p>
  </w:endnote>
  <w:endnote w:type="continuationSeparator" w:id="0">
    <w:p w:rsidR="00941FAF" w:rsidRDefault="00941FAF" w:rsidP="0046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FAF" w:rsidRDefault="00941FAF" w:rsidP="0046021F">
      <w:pPr>
        <w:spacing w:after="0" w:line="240" w:lineRule="auto"/>
      </w:pPr>
      <w:r>
        <w:separator/>
      </w:r>
    </w:p>
  </w:footnote>
  <w:footnote w:type="continuationSeparator" w:id="0">
    <w:p w:rsidR="00941FAF" w:rsidRDefault="00941FAF" w:rsidP="0046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1F" w:rsidRDefault="0046021F">
    <w:pPr>
      <w:pStyle w:val="Header"/>
    </w:pPr>
    <w:r w:rsidRPr="00356AFC">
      <w:rPr>
        <w:noProof/>
        <w:lang w:val="en-US"/>
      </w:rPr>
      <w:drawing>
        <wp:inline distT="0" distB="0" distL="0" distR="0" wp14:anchorId="6BF0471B" wp14:editId="7BE4D0DD">
          <wp:extent cx="629132" cy="689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racted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83" cy="697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21F" w:rsidRDefault="00460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C1B43"/>
    <w:multiLevelType w:val="multilevel"/>
    <w:tmpl w:val="0EBE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1F"/>
    <w:rsid w:val="00143D0D"/>
    <w:rsid w:val="002655D2"/>
    <w:rsid w:val="0035369F"/>
    <w:rsid w:val="0046021F"/>
    <w:rsid w:val="006A6B41"/>
    <w:rsid w:val="0079172D"/>
    <w:rsid w:val="0094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590E6-1A4C-4AE4-91B9-DDA534B2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21F"/>
    <w:pPr>
      <w:spacing w:after="200" w:line="276" w:lineRule="auto"/>
    </w:pPr>
    <w:rPr>
      <w:rFonts w:eastAsiaTheme="minorEastAsia"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1F"/>
    <w:rPr>
      <w:lang w:val="sr-Cyrl-BA"/>
    </w:rPr>
  </w:style>
  <w:style w:type="paragraph" w:styleId="Footer">
    <w:name w:val="footer"/>
    <w:basedOn w:val="Normal"/>
    <w:link w:val="FooterChar"/>
    <w:uiPriority w:val="99"/>
    <w:unhideWhenUsed/>
    <w:rsid w:val="0046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1F"/>
    <w:rPr>
      <w:lang w:val="sr-Cyrl-BA"/>
    </w:rPr>
  </w:style>
  <w:style w:type="paragraph" w:styleId="Title">
    <w:name w:val="Title"/>
    <w:basedOn w:val="Normal"/>
    <w:next w:val="Normal"/>
    <w:link w:val="TitleChar"/>
    <w:uiPriority w:val="10"/>
    <w:qFormat/>
    <w:rsid w:val="0046021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021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sr-Cyrl-BA"/>
    </w:rPr>
  </w:style>
  <w:style w:type="character" w:styleId="Strong">
    <w:name w:val="Strong"/>
    <w:basedOn w:val="DefaultParagraphFont"/>
    <w:uiPriority w:val="22"/>
    <w:qFormat/>
    <w:rsid w:val="0046021F"/>
    <w:rPr>
      <w:b/>
      <w:bCs/>
    </w:rPr>
  </w:style>
  <w:style w:type="table" w:styleId="TableGrid">
    <w:name w:val="Table Grid"/>
    <w:basedOn w:val="TableNormal"/>
    <w:uiPriority w:val="39"/>
    <w:rsid w:val="0046021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0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h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2026-06-12T13:47:00Z</dcterms:created>
  <dcterms:modified xsi:type="dcterms:W3CDTF">2026-06-15T06:34:00Z</dcterms:modified>
</cp:coreProperties>
</file>